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sz w:val="22"/>
          <w:szCs w:val="22"/>
          <w:lang w:val="ru-RU" w:bidi="ru-RU"/>
        </w:rPr>
      </w:pPr>
    </w:p>
    <w:p>
      <w:pPr>
        <w:spacing w:before="0" w:after="200" w:line="276" w:lineRule="auto"/>
        <w:ind w:left="0" w:right="0" w:firstLine="0"/>
        <w:jc w:val="center"/>
        <w:rPr>
          <w:rFonts w:ascii="PT Astra Serif" w:hAnsi="PT Astra Serif" w:eastAsia="PT Astra Serif" w:cs="PT Astra Serif"/>
          <w:b/>
          <w:bCs/>
          <w:sz w:val="28"/>
          <w:szCs w:val="28"/>
          <w:lang w:val="ru-RU" w:bidi="ru-RU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val="ru-RU" w:bidi="ru-RU"/>
        </w:rPr>
        <w:t xml:space="preserve">СОВЕТ ДЕПУТАТОВ МУНИЦИПАЛЬНОГО ОКРУГА ПАНКРУШИХИНСКИЙ РАЙОН АЛТАЙСКОГО КРАЯ</w:t>
      </w:r>
    </w:p>
    <w:p>
      <w:pPr>
        <w:spacing w:before="0" w:after="200" w:line="276" w:lineRule="auto"/>
        <w:ind w:left="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200" w:line="276" w:lineRule="auto"/>
        <w:ind w:left="0" w:right="0" w:firstLine="0"/>
        <w:jc w:val="center"/>
        <w:rPr>
          <w:rFonts w:ascii="Arial" w:hAnsi="Arial" w:eastAsia="Arial" w:cs="Arial"/>
          <w:b/>
          <w:bCs/>
          <w:sz w:val="28"/>
          <w:szCs w:val="28"/>
          <w:lang w:val="ru-RU" w:bidi="ru-RU"/>
        </w:rPr>
      </w:pPr>
      <w:r>
        <w:rPr>
          <w:rFonts w:ascii="Arial" w:hAnsi="Arial" w:eastAsia="Arial" w:cs="Arial"/>
          <w:b/>
          <w:bCs/>
          <w:sz w:val="28"/>
          <w:szCs w:val="28"/>
          <w:lang w:val="ru-RU" w:bidi="ru-RU"/>
        </w:rPr>
        <w:t xml:space="preserve">РЕШЕНИЕ </w:t>
      </w:r>
    </w:p>
    <w:p>
      <w:pPr>
        <w:spacing w:before="0" w:after="200" w:line="276" w:lineRule="auto"/>
        <w:ind w:left="0" w:right="0" w:firstLine="0"/>
        <w:jc w:val="center"/>
        <w:rPr>
          <w:rFonts w:ascii="Arial" w:hAnsi="Arial" w:eastAsia="Arial" w:cs="Arial"/>
          <w:b/>
          <w:bCs/>
          <w:sz w:val="28"/>
          <w:szCs w:val="28"/>
          <w:lang w:val="ru-RU" w:bidi="ru-RU"/>
        </w:rPr>
      </w:pPr>
    </w:p>
    <w:p>
      <w:pPr>
        <w:spacing w:before="0" w:after="200" w:line="276" w:lineRule="auto"/>
        <w:ind w:left="0" w:right="0" w:firstLine="0"/>
        <w:jc w:val="left"/>
        <w:rPr>
          <w:rFonts w:ascii="Arial" w:hAnsi="Arial" w:eastAsia="Arial" w:cs="Arial"/>
          <w:b/>
          <w:bCs/>
          <w:sz w:val="20"/>
          <w:szCs w:val="20"/>
          <w:lang w:val="ru-RU" w:bidi="ru-RU"/>
        </w:rPr>
      </w:pPr>
      <w:r>
        <w:rPr>
          <w:rFonts w:ascii="PT Astra Serif" w:hAnsi="PT Astra Serif" w:eastAsia="PT Astra Serif" w:cs="PT Astra Serif"/>
          <w:sz w:val="28"/>
          <w:szCs w:val="28"/>
          <w:lang w:val="ru-RU" w:bidi="ru-RU"/>
        </w:rPr>
        <w:t xml:space="preserve">25.12.2025                                                  № 68                                     </w:t>
      </w:r>
      <w:r>
        <w:rPr>
          <w:rFonts w:ascii="Arial" w:hAnsi="Arial" w:eastAsia="Arial" w:cs="Arial"/>
          <w:b/>
          <w:bCs/>
          <w:sz w:val="20"/>
          <w:szCs w:val="20"/>
          <w:lang w:val="ru-RU" w:bidi="ru-RU"/>
        </w:rPr>
        <w:t xml:space="preserve">                            </w:t>
      </w:r>
    </w:p>
    <w:p>
      <w:pPr>
        <w:spacing w:before="4" w:after="200" w:line="276" w:lineRule="auto"/>
        <w:ind w:left="0" w:right="0" w:firstLine="0"/>
        <w:jc w:val="center"/>
        <w:rPr>
          <w:rFonts w:ascii="Arial" w:hAnsi="Arial" w:eastAsia="Arial" w:cs="Arial"/>
          <w:b/>
          <w:bCs/>
          <w:sz w:val="20"/>
          <w:szCs w:val="20"/>
          <w:lang w:val="ru-RU" w:bidi="ru-RU"/>
        </w:rPr>
      </w:pPr>
      <w:r>
        <w:rPr>
          <w:rFonts w:ascii="Arial" w:hAnsi="Arial" w:eastAsia="Arial" w:cs="Arial"/>
          <w:b/>
          <w:bCs/>
          <w:sz w:val="20"/>
          <w:szCs w:val="20"/>
          <w:lang w:val="ru-RU" w:bidi="ru-RU"/>
        </w:rPr>
        <w:t xml:space="preserve">с. Панкрушиха</w:t>
      </w:r>
    </w:p>
    <w:p>
      <w:pPr>
        <w:tabs>
          <w:tab w:val="left" w:pos="4962"/>
        </w:tabs>
        <w:spacing w:before="0" w:after="0" w:line="240" w:lineRule="auto"/>
        <w:ind w:left="0" w:right="5153" w:firstLine="0"/>
        <w:contextualSpacing/>
        <w:jc w:val="both"/>
        <w:rPr>
          <w:rFonts w:ascii="PT Astra Serif" w:hAnsi="PT Astra Serif" w:eastAsia="PT Astra Serif" w:cs="PT Astra Serif"/>
          <w:sz w:val="28"/>
          <w:szCs w:val="28"/>
          <w:lang w:val="ru-RU" w:bidi="ru-RU"/>
        </w:rPr>
      </w:pPr>
      <w:r>
        <w:rPr>
          <w:rFonts w:ascii="PT Astra Serif" w:hAnsi="PT Astra Serif" w:eastAsia="PT Astra Serif" w:cs="PT Astra Serif"/>
          <w:sz w:val="28"/>
          <w:szCs w:val="28"/>
          <w:lang w:val="ru-RU" w:bidi="ru-RU"/>
        </w:rPr>
        <w:t xml:space="preserve">О внесении изменений в решение Луковского сельского Совета депутатов Панкрушихинского района Алтайского края от 26.12.2024 № 21 «О бюджете Луковского сельсовета Панкрушихинского района Алтайского края на 2025 год и на плановый период 2026 и 2027 годов»</w:t>
      </w:r>
    </w:p>
    <w:p>
      <w:pPr>
        <w:tabs>
          <w:tab w:val="left" w:pos="4962"/>
        </w:tabs>
        <w:spacing w:before="0" w:after="0" w:line="240" w:lineRule="auto"/>
        <w:ind w:left="0" w:right="4394" w:firstLine="0"/>
        <w:jc w:val="both"/>
        <w:rPr>
          <w:rFonts w:ascii="PT Astra Serif" w:hAnsi="PT Astra Serif" w:eastAsia="PT Astra Serif" w:cs="PT Astra Serif"/>
          <w:sz w:val="28"/>
          <w:szCs w:val="28"/>
          <w:lang w:val="ru-RU" w:bidi="ru-RU"/>
        </w:rPr>
      </w:pPr>
    </w:p>
    <w:p>
      <w:pPr>
        <w:spacing w:before="4" w:after="200" w:line="240" w:lineRule="auto"/>
        <w:ind w:left="0" w:right="0" w:firstLine="0"/>
        <w:jc w:val="both"/>
        <w:rPr>
          <w:rFonts w:ascii="PT Astra Serif" w:hAnsi="PT Astra Serif" w:eastAsia="PT Astra Serif" w:cs="PT Astra Serif"/>
          <w:sz w:val="28"/>
          <w:szCs w:val="28"/>
          <w:lang w:val="ru-RU" w:bidi="ru-RU"/>
        </w:rPr>
      </w:pPr>
      <w:r>
        <w:rPr>
          <w:rFonts w:ascii="PT Astra Serif" w:hAnsi="PT Astra Serif" w:eastAsia="PT Astra Serif" w:cs="PT Astra Serif"/>
          <w:sz w:val="28"/>
          <w:szCs w:val="28"/>
          <w:lang w:val="ru-RU" w:bidi="ru-RU"/>
        </w:rPr>
        <w:t xml:space="preserve">         В соответствии с Бюджетным кодексом РФ, законом Алтайского края от 07.05.2025 № 28-ЗС "Об объединении всех поселений, входящих в состав Панкрушихинского района Алтайского края, и создании муниципального образования муниципальный округ Панкрушихинский район Алтайского края", Уставом муниципального образования Луковский сельсовет Алтайского края, Совет депутатов муниципального округа Панкрушихинский район Алтайского края РЕШИЛ:</w:t>
      </w:r>
    </w:p>
    <w:p>
      <w:pPr>
        <w:spacing w:before="4" w:after="20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        1.  Внести изменения в решение Луковского сельского Совета депутатов Панкрушихинского района Алтайского края от 26.12.2024 № 21 «О бюджете Луковского сельсовета Панкрушихинского района Алтайского края на 2025 год и на плановый период 2026 и 2027 годов»  следующие изменения: </w:t>
      </w:r>
    </w:p>
    <w:p>
      <w:pPr>
        <w:spacing w:before="4" w:after="200" w:line="276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1.1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Статья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1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часть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1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изложить в новой редакции:</w:t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пункт 1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 Утвердить общий объём доходов бюджета сельского поселения на 2025 год в сумме 7039,5 тыс.рублей, в том числе объем межбюджетных трансфертов, получаемых из других бюджетов, в сумме  4846,6 тыс.рублей;</w:t>
      </w:r>
    </w:p>
    <w:p>
      <w:pPr>
        <w:spacing w:before="4" w:after="20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пункт 2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 общий объем расходов бюджета сельского поселения в сумме 7039,5 тыс.рублей; </w:t>
      </w:r>
    </w:p>
    <w:p>
      <w:pPr>
        <w:spacing w:before="0" w:after="40" w:line="240" w:lineRule="auto"/>
        <w:ind w:left="0" w:right="0" w:firstLine="800"/>
        <w:jc w:val="both"/>
        <w:rPr>
          <w:rFonts w:ascii="Arial CYR" w:hAnsi="Arial CYR" w:eastAsia="Arial CYR" w:cs="Arial CYR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lang w:val="en-US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8"/>
          <w:szCs w:val="28"/>
          <w:lang w:val="ru-RU" w:bidi="ru-RU"/>
        </w:rPr>
        <w:t xml:space="preserve">Утвердить основные характеристики бюджета сельского поселения на 2026 год и на 2027 год:</w:t>
      </w:r>
    </w:p>
    <w:p>
      <w:pPr>
        <w:spacing w:before="0" w:after="40" w:line="240" w:lineRule="auto"/>
        <w:ind w:left="0" w:right="0" w:firstLine="800"/>
        <w:jc w:val="both"/>
        <w:rPr>
          <w:rFonts w:ascii="Arial CYR" w:hAnsi="Arial CYR" w:eastAsia="Arial CYR" w:cs="Arial CYR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lang w:val="en-US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8"/>
          <w:szCs w:val="28"/>
          <w:lang w:val="ru-RU" w:bidi="ru-RU"/>
        </w:rPr>
        <w:t xml:space="preserve">прогнозируемый общий объем доходов бюджета сельского поселения на 2026 год  в  сумме 0,00 тыс.  рублей,  в  том  числе  объем трансфертов, получаемых из других бюджетов, в сумме 0,00 тыс. рублей и на 2027 год в сумме 0,00 тыс. рублей,  в  том  числе объем межбюджетных трансфертов, получаемых из других бюджетов, в сумме 0,00 тыс. рублей;</w:t>
      </w:r>
    </w:p>
    <w:p>
      <w:pPr>
        <w:spacing w:before="0" w:after="40" w:line="240" w:lineRule="auto"/>
        <w:ind w:left="0" w:right="0" w:firstLine="800"/>
        <w:jc w:val="both"/>
        <w:rPr>
          <w:rFonts w:ascii="Arial CYR" w:hAnsi="Arial CYR" w:eastAsia="Arial CYR" w:cs="Arial CYR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lang w:val="en-US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8"/>
          <w:szCs w:val="28"/>
          <w:lang w:val="ru-RU" w:bidi="ru-RU"/>
        </w:rPr>
        <w:t xml:space="preserve">общий  объем  расходов  бюджета  сельского поселения на 2026 год в сумме 0,00 тыс. рублей, в том числе условно утвержденные расходы в сумме 0,00 тыс. рублей  и 2027 год  в  сумме 0,00 тыс. рублей, в том числе условно утвержденные расходы в сумме 0,00 тыс. рублей;</w:t>
      </w:r>
    </w:p>
    <w:p>
      <w:pPr>
        <w:spacing w:before="0" w:after="40" w:line="240" w:lineRule="auto"/>
        <w:ind w:left="0" w:right="0" w:firstLine="800"/>
        <w:jc w:val="both"/>
        <w:rPr>
          <w:rFonts w:ascii="Arial CYR" w:hAnsi="Arial CYR" w:eastAsia="Arial CYR" w:cs="Arial CYR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lang w:val="en-US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8"/>
          <w:szCs w:val="28"/>
          <w:lang w:val="ru-RU" w:bidi="ru-RU"/>
        </w:rPr>
        <w:t xml:space="preserve">дефицит бюджета сельского поселения на 2026 год в сумме 0,0 тыс. рублей и на 2027 год в сумме 0,0 тыс. рублей.</w:t>
      </w:r>
    </w:p>
    <w:p>
      <w:pPr>
        <w:spacing w:before="0" w:after="40" w:line="240" w:lineRule="auto"/>
        <w:ind w:left="0" w:right="0" w:firstLine="800"/>
        <w:jc w:val="both"/>
        <w:rPr>
          <w:rFonts w:ascii="Arial CYR" w:hAnsi="Arial CYR" w:eastAsia="Arial CYR" w:cs="Arial CYR"/>
          <w:sz w:val="20"/>
          <w:szCs w:val="20"/>
          <w:lang w:val="ru-RU" w:bidi="ru-RU"/>
        </w:rPr>
      </w:pPr>
    </w:p>
    <w:p>
      <w:pPr>
        <w:spacing w:before="4" w:after="200" w:line="276" w:lineRule="auto"/>
        <w:ind w:left="0" w:right="0" w:firstLine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2. Бюджетные ассигнования бюджета сельского поселения на 2025 год и плановый период 2026 и 2027годов:</w:t>
      </w:r>
    </w:p>
    <w:p>
      <w:pPr>
        <w:pStyle w:val="Style_17"/>
        <w:numPr>
          <w:numId w:val="1"/>
          <w:ilvl w:val="1"/>
        </w:numPr>
        <w:spacing w:before="4" w:after="200" w:line="276" w:lineRule="auto"/>
        <w:ind w:left="375" w:right="0" w:hanging="375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bookmarkStart w:id="1" w:name="_Hlk217293684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Статья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часть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изложить в новой редакции:</w:t>
      </w:r>
      <w:bookmarkEnd w:id="1"/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пункт1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2025 год согласно приложению 1 к настоящему Решению;</w:t>
      </w:r>
    </w:p>
    <w:p>
      <w:pPr>
        <w:spacing w:before="4" w:after="20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bookmarkStart w:id="2" w:name="_Hlk217306615"/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пункт3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ведомственную структуру расходов бюджета сельского поселения на 2025  год согласно приложению 2 к настоящему Решению;</w:t>
      </w:r>
      <w:bookmarkEnd w:id="2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                        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пункт 5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распределение бюджетных ассигнований по разделам, подразделам, целевым статьям, группам (группам и подгруппам)видов расходов бюджета сельского поселения на 2025 год согласно приложению 3 к настоящему Решению;</w:t>
      </w:r>
    </w:p>
    <w:p>
      <w:pPr>
        <w:pStyle w:val="Style_17"/>
        <w:numPr>
          <w:numId w:val="3"/>
          <w:ilvl w:val="1"/>
        </w:numPr>
        <w:spacing w:before="4" w:after="200" w:line="240" w:lineRule="auto"/>
        <w:ind w:left="375" w:right="0" w:hanging="375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Статья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часть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изложить в новой редакции:</w:t>
      </w:r>
    </w:p>
    <w:p>
      <w:pPr>
        <w:spacing w:before="4" w:after="20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Утвердить объем бюджетных ассигнований резервного фонда администрации Луковского сельсовета на 2025 год в сумме 0,0 тыс. рублей, на 2026 год в сумме 0,0 тыс. рублей, на 2027 год в сумме 0,0 тыс. рублей.</w:t>
      </w:r>
    </w:p>
    <w:p>
      <w:pPr>
        <w:numPr>
          <w:numId w:val="2"/>
          <w:ilvl w:val="0"/>
        </w:numPr>
        <w:spacing w:before="4" w:after="200" w:line="240" w:lineRule="auto"/>
        <w:ind w:left="0" w:right="0" w:firstLine="426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Контроль за исполнением решения возложить на постоянную комиссию по социально-экономическому развитию и бюджету. </w:t>
      </w:r>
    </w:p>
    <w:p>
      <w:pPr>
        <w:pStyle w:val="Style_17"/>
        <w:numPr>
          <w:numId w:val="2"/>
          <w:ilvl w:val="0"/>
        </w:numPr>
        <w:spacing w:before="4" w:after="40" w:line="240" w:lineRule="auto"/>
        <w:ind w:left="720" w:right="0" w:hanging="36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Обнародовать настоящее решение в установленном порядке.</w:t>
      </w:r>
    </w:p>
    <w:p>
      <w:pPr>
        <w:spacing w:before="4" w:after="4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4" w:after="4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4" w:after="4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Председатель Совета депутатов </w:t>
      </w:r>
    </w:p>
    <w:p>
      <w:pPr>
        <w:tabs>
          <w:tab w:val="left" w:pos="5245"/>
        </w:tabs>
        <w:spacing w:before="4" w:after="40" w:line="240" w:lineRule="auto"/>
        <w:ind w:left="0" w:right="0" w:firstLine="0"/>
        <w:jc w:val="left"/>
        <w:rPr>
          <w:rFonts w:ascii="Arial" w:hAnsi="Arial" w:eastAsia="Arial" w:cs="Arial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муниципального округа                                                Д.С. Горин                </w:t>
      </w:r>
    </w:p>
    <w:tbl>
      <w:tblPr>
        <w:tblStyle w:val="Style_11"/>
        <w:tblW w:w="99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0" w:type="dxa"/>
          <w:right w:w="0" w:type="dxa"/>
        </w:tblCellMar>
      </w:tblPr>
      <w:tblGrid>
        <w:gridCol w:w="5245"/>
        <w:gridCol w:w="4678"/>
      </w:tblGrid>
      <w:tr>
        <w:trPr>
          <w:trHeight w:val="1"/>
        </w:trPr>
        <w:tc>
          <w:tcPr>
            <w:tcW w:w="5245" w:type="dxa"/>
            <w:tcBorders>
              <w:top w:val="none"/>
              <w:left w:val="none"/>
              <w:bottom w:val="none"/>
              <w:right w:val="none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</w:p>
        </w:tc>
        <w:tc>
          <w:tcPr>
            <w:tcW w:w="4678" w:type="dxa"/>
            <w:tcBorders>
              <w:top w:val="none"/>
              <w:left w:val="none"/>
              <w:bottom w:val="none"/>
              <w:right w:val="none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ПРИЛОЖЕНИЕ 1</w:t>
            </w:r>
          </w:p>
        </w:tc>
      </w:tr>
      <w:tr>
        <w:trPr>
          <w:trHeight w:val="1"/>
        </w:trPr>
        <w:tc>
          <w:tcPr>
            <w:tcW w:w="5245" w:type="dxa"/>
            <w:tcBorders>
              <w:top w:val="none"/>
              <w:left w:val="none"/>
              <w:bottom w:val="none"/>
              <w:right w:val="none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4678" w:type="dxa"/>
            <w:tcBorders>
              <w:top w:val="none"/>
              <w:left w:val="none"/>
              <w:bottom w:val="none"/>
              <w:right w:val="none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к решению Совета депутатов муниципального округа №68 от 25.12.2025  «О внесении изменений в решение Луковского сельского Совета депутатов от 26.12.2024 № 21 «О бюджете Луковского сельсовета Панкрушихинского района Алтайского края на 2025 год и на плановый период 2026 и 2027 годов»</w:t>
            </w:r>
          </w:p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</w:p>
        </w:tc>
      </w:tr>
    </w:tbl>
    <w:p>
      <w:pPr>
        <w:spacing w:before="0" w:after="40" w:line="240" w:lineRule="auto"/>
        <w:ind w:left="0" w:right="0" w:firstLine="0"/>
        <w:jc w:val="both"/>
        <w:rPr>
          <w:rFonts w:ascii="PT Astra Serif" w:hAnsi="PT Astra Serif" w:eastAsia="PT Astra Serif" w:cs="PT Astra Serif"/>
          <w:sz w:val="24"/>
          <w:szCs w:val="24"/>
          <w:lang w:val="ru-RU" w:bidi="ru-RU"/>
        </w:rPr>
      </w:pPr>
      <w:r>
        <w:rPr>
          <w:rFonts w:ascii="PT Astra Serif" w:hAnsi="PT Astra Serif" w:eastAsia="PT Astra Serif" w:cs="PT Astra Serif"/>
          <w:sz w:val="24"/>
          <w:szCs w:val="24"/>
          <w:lang w:val="ru-RU" w:bidi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2025 год</w:t>
      </w:r>
    </w:p>
    <w:tbl>
      <w:tblPr>
        <w:tblStyle w:val="Style_11"/>
        <w:tblW w:w="9966" w:type="dxa"/>
        <w:tblInd w:w="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5670"/>
        <w:gridCol w:w="2127"/>
        <w:gridCol w:w="2169"/>
      </w:tblGrid>
      <w:tr>
        <w:trPr>
          <w:trHeight w:val="1"/>
        </w:trPr>
        <w:tc>
          <w:tcPr>
            <w:tcW w:w="56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Наименование</w:t>
            </w:r>
          </w:p>
        </w:tc>
        <w:tc>
          <w:tcPr>
            <w:tcW w:w="21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Рз/Пр</w:t>
            </w:r>
          </w:p>
        </w:tc>
        <w:tc>
          <w:tcPr>
            <w:tcW w:w="21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Сумма, тыс. рублей</w:t>
            </w:r>
          </w:p>
        </w:tc>
      </w:tr>
      <w:tr>
        <w:trPr>
          <w:trHeight w:val="1"/>
        </w:trPr>
        <w:tc>
          <w:tcPr>
            <w:tcW w:w="56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1</w:t>
            </w:r>
          </w:p>
        </w:tc>
        <w:tc>
          <w:tcPr>
            <w:tcW w:w="21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2</w:t>
            </w:r>
          </w:p>
        </w:tc>
        <w:tc>
          <w:tcPr>
            <w:tcW w:w="21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</w:t>
            </w:r>
          </w:p>
        </w:tc>
      </w:tr>
      <w:tr>
        <w:trPr>
          <w:trHeight w:val="1"/>
        </w:trPr>
        <w:tc>
          <w:tcPr>
            <w:tcW w:w="56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ВСЕГО</w:t>
            </w:r>
          </w:p>
        </w:tc>
        <w:tc>
          <w:tcPr>
            <w:tcW w:w="21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00 00</w:t>
            </w:r>
          </w:p>
        </w:tc>
        <w:tc>
          <w:tcPr>
            <w:tcW w:w="21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8"/>
                <w:szCs w:val="28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 w:bidi="ru-RU"/>
              </w:rPr>
              <w:t xml:space="preserve">7039,5</w:t>
            </w:r>
          </w:p>
        </w:tc>
      </w:tr>
      <w:tr>
        <w:trPr>
          <w:trHeight w:val="1"/>
        </w:trPr>
        <w:tc>
          <w:tcPr>
            <w:tcW w:w="56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ОБЩЕГОСУДАРСТВЕННЫЕ ВОПРОСЫ</w:t>
            </w:r>
          </w:p>
        </w:tc>
        <w:tc>
          <w:tcPr>
            <w:tcW w:w="21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01 00</w:t>
            </w:r>
          </w:p>
        </w:tc>
        <w:tc>
          <w:tcPr>
            <w:tcW w:w="21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4297,8</w:t>
            </w:r>
          </w:p>
        </w:tc>
      </w:tr>
      <w:tr>
        <w:trPr>
          <w:trHeight w:val="1"/>
        </w:trPr>
        <w:tc>
          <w:tcPr>
            <w:tcW w:w="56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01 02</w:t>
            </w:r>
          </w:p>
        </w:tc>
        <w:tc>
          <w:tcPr>
            <w:tcW w:w="21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683,3</w:t>
            </w:r>
          </w:p>
        </w:tc>
      </w:tr>
      <w:tr>
        <w:trPr>
          <w:trHeight w:val="1"/>
        </w:trPr>
        <w:tc>
          <w:tcPr>
            <w:tcW w:w="56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1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01 03</w:t>
            </w:r>
          </w:p>
        </w:tc>
        <w:tc>
          <w:tcPr>
            <w:tcW w:w="21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2,0</w:t>
            </w:r>
          </w:p>
        </w:tc>
      </w:tr>
      <w:tr>
        <w:trPr>
          <w:trHeight w:val="1"/>
        </w:trPr>
        <w:tc>
          <w:tcPr>
            <w:tcW w:w="56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1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01 04</w:t>
            </w:r>
          </w:p>
        </w:tc>
        <w:tc>
          <w:tcPr>
            <w:tcW w:w="21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310,7</w:t>
            </w:r>
          </w:p>
        </w:tc>
      </w:tr>
      <w:tr>
        <w:trPr>
          <w:trHeight w:val="1"/>
        </w:trPr>
        <w:tc>
          <w:tcPr>
            <w:tcW w:w="56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Резервные фонды</w:t>
            </w:r>
          </w:p>
        </w:tc>
        <w:tc>
          <w:tcPr>
            <w:tcW w:w="21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01 11</w:t>
            </w:r>
          </w:p>
        </w:tc>
        <w:tc>
          <w:tcPr>
            <w:tcW w:w="21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0,0</w:t>
            </w:r>
          </w:p>
        </w:tc>
      </w:tr>
      <w:tr>
        <w:trPr>
          <w:trHeight w:val="1"/>
        </w:trPr>
        <w:tc>
          <w:tcPr>
            <w:tcW w:w="56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Другие общегосударственные вопросы</w:t>
            </w:r>
          </w:p>
        </w:tc>
        <w:tc>
          <w:tcPr>
            <w:tcW w:w="21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01 13</w:t>
            </w:r>
          </w:p>
        </w:tc>
        <w:tc>
          <w:tcPr>
            <w:tcW w:w="21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3301,8</w:t>
            </w:r>
          </w:p>
        </w:tc>
      </w:tr>
      <w:tr>
        <w:trPr>
          <w:trHeight w:val="1"/>
        </w:trPr>
        <w:tc>
          <w:tcPr>
            <w:tcW w:w="56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НАЦИОНАЛЬНАЯ ОБОРОНА</w:t>
            </w:r>
          </w:p>
        </w:tc>
        <w:tc>
          <w:tcPr>
            <w:tcW w:w="21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02 00</w:t>
            </w:r>
          </w:p>
        </w:tc>
        <w:tc>
          <w:tcPr>
            <w:tcW w:w="21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163,3</w:t>
            </w:r>
          </w:p>
        </w:tc>
      </w:tr>
      <w:tr>
        <w:trPr>
          <w:trHeight w:val="1"/>
        </w:trPr>
        <w:tc>
          <w:tcPr>
            <w:tcW w:w="56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Мобилизационная и вневойсковая подготовка</w:t>
            </w:r>
          </w:p>
        </w:tc>
        <w:tc>
          <w:tcPr>
            <w:tcW w:w="21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02 03</w:t>
            </w:r>
          </w:p>
        </w:tc>
        <w:tc>
          <w:tcPr>
            <w:tcW w:w="21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163,3</w:t>
            </w:r>
          </w:p>
        </w:tc>
      </w:tr>
      <w:tr>
        <w:trPr>
          <w:trHeight w:val="1"/>
        </w:trPr>
        <w:tc>
          <w:tcPr>
            <w:tcW w:w="56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НАЦИОНАЛЬНАЯ БЕЗОПАСНОСТЬ И ПРАВООХРАНИТЕЛЬНАЯ ДЕЯТЕЛЬНОСТЬ</w:t>
            </w:r>
          </w:p>
        </w:tc>
        <w:tc>
          <w:tcPr>
            <w:tcW w:w="21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03 00</w:t>
            </w:r>
          </w:p>
        </w:tc>
        <w:tc>
          <w:tcPr>
            <w:tcW w:w="21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0,0</w:t>
            </w:r>
          </w:p>
        </w:tc>
      </w:tr>
      <w:tr>
        <w:trPr>
          <w:trHeight w:val="1"/>
        </w:trPr>
        <w:tc>
          <w:tcPr>
            <w:tcW w:w="56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1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03 10</w:t>
            </w:r>
          </w:p>
        </w:tc>
        <w:tc>
          <w:tcPr>
            <w:tcW w:w="21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0,0</w:t>
            </w:r>
          </w:p>
        </w:tc>
      </w:tr>
      <w:tr>
        <w:trPr>
          <w:trHeight w:val="1"/>
        </w:trPr>
        <w:tc>
          <w:tcPr>
            <w:tcW w:w="56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НАЦИОНАЛЬНАЯ ЭКОНОМИКА</w:t>
            </w:r>
          </w:p>
        </w:tc>
        <w:tc>
          <w:tcPr>
            <w:tcW w:w="21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04 00</w:t>
            </w:r>
          </w:p>
        </w:tc>
        <w:tc>
          <w:tcPr>
            <w:tcW w:w="21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2261,1</w:t>
            </w:r>
          </w:p>
        </w:tc>
      </w:tr>
      <w:tr>
        <w:trPr>
          <w:trHeight w:val="1"/>
        </w:trPr>
        <w:tc>
          <w:tcPr>
            <w:tcW w:w="56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Дорожное хозяйство (дорожные фонды)</w:t>
            </w:r>
          </w:p>
        </w:tc>
        <w:tc>
          <w:tcPr>
            <w:tcW w:w="21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04 09</w:t>
            </w:r>
          </w:p>
        </w:tc>
        <w:tc>
          <w:tcPr>
            <w:tcW w:w="21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2261,1</w:t>
            </w:r>
          </w:p>
        </w:tc>
      </w:tr>
      <w:tr>
        <w:trPr>
          <w:trHeight w:val="1"/>
        </w:trPr>
        <w:tc>
          <w:tcPr>
            <w:tcW w:w="56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ЖИЛИЩНО-КОММУНАЛЬНОЕ ХОЗЯЙСТВО</w:t>
            </w:r>
          </w:p>
        </w:tc>
        <w:tc>
          <w:tcPr>
            <w:tcW w:w="21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05 00</w:t>
            </w:r>
          </w:p>
        </w:tc>
        <w:tc>
          <w:tcPr>
            <w:tcW w:w="21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20,0</w:t>
            </w:r>
          </w:p>
        </w:tc>
      </w:tr>
      <w:tr>
        <w:trPr>
          <w:trHeight w:val="1"/>
        </w:trPr>
        <w:tc>
          <w:tcPr>
            <w:tcW w:w="56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Благоустройство</w:t>
            </w:r>
          </w:p>
        </w:tc>
        <w:tc>
          <w:tcPr>
            <w:tcW w:w="21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05 03</w:t>
            </w:r>
          </w:p>
        </w:tc>
        <w:tc>
          <w:tcPr>
            <w:tcW w:w="21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20,0</w:t>
            </w:r>
          </w:p>
        </w:tc>
      </w:tr>
      <w:tr>
        <w:trPr>
          <w:trHeight w:val="1"/>
        </w:trPr>
        <w:tc>
          <w:tcPr>
            <w:tcW w:w="56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КУЛЬТУРА, КИНЕМАТОГРАФИЯ</w:t>
            </w:r>
          </w:p>
        </w:tc>
        <w:tc>
          <w:tcPr>
            <w:tcW w:w="21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08 00</w:t>
            </w:r>
          </w:p>
        </w:tc>
        <w:tc>
          <w:tcPr>
            <w:tcW w:w="21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297,3</w:t>
            </w:r>
          </w:p>
        </w:tc>
      </w:tr>
      <w:tr>
        <w:trPr>
          <w:trHeight w:val="1"/>
        </w:trPr>
        <w:tc>
          <w:tcPr>
            <w:tcW w:w="56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Культура</w:t>
            </w:r>
          </w:p>
        </w:tc>
        <w:tc>
          <w:tcPr>
            <w:tcW w:w="21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08 01</w:t>
            </w:r>
          </w:p>
        </w:tc>
        <w:tc>
          <w:tcPr>
            <w:tcW w:w="21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297,3</w:t>
            </w:r>
          </w:p>
        </w:tc>
      </w:tr>
    </w:tbl>
    <w:p>
      <w:pPr>
        <w:spacing w:before="0" w:after="40" w:line="240" w:lineRule="auto"/>
        <w:ind w:left="0" w:right="0" w:firstLine="0"/>
        <w:jc w:val="both"/>
        <w:rPr>
          <w:rFonts w:ascii="PT Astra Serif" w:hAnsi="PT Astra Serif" w:eastAsia="PT Astra Serif" w:cs="PT Astra Serif"/>
          <w:sz w:val="24"/>
          <w:szCs w:val="24"/>
          <w:lang w:val="en-US" w:bidi="ru-RU"/>
        </w:rPr>
      </w:pPr>
    </w:p>
    <w:tbl>
      <w:tblPr>
        <w:tblStyle w:val="Style_11"/>
        <w:tblW w:w="99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5103"/>
        <w:gridCol w:w="4820"/>
        <w:gridCol w:w="20"/>
      </w:tblGrid>
      <w:tr>
        <w:trPr>
          <w:trHeight w:val="1"/>
        </w:trPr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4820" w:type="dxa"/>
            <w:tcBorders>
              <w:top w:val="none"/>
              <w:left w:val="none"/>
              <w:bottom w:val="none"/>
              <w:right w:val="none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ПРИЛОЖЕНИЕ  2</w:t>
            </w:r>
          </w:p>
        </w:tc>
        <w:tc>
          <w:tcPr>
            <w:tcW w:w="20" w:type="dxa"/>
            <w:tcBorders>
              <w:top w:val="none"/>
              <w:left w:val="none"/>
              <w:bottom w:val="none"/>
              <w:right w:val="none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</w:tr>
      <w:tr>
        <w:trPr>
          <w:trHeight w:val="1"/>
        </w:trPr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4820" w:type="dxa"/>
            <w:tcBorders>
              <w:top w:val="none"/>
              <w:left w:val="none"/>
              <w:bottom w:val="none"/>
              <w:right w:val="none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</w:p>
        </w:tc>
        <w:tc>
          <w:tcPr>
            <w:tcW w:w="20" w:type="dxa"/>
            <w:tcBorders>
              <w:top w:val="none"/>
              <w:left w:val="none"/>
              <w:bottom w:val="none"/>
              <w:right w:val="none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1"/>
        </w:trPr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4820" w:type="dxa"/>
            <w:tcBorders>
              <w:top w:val="none"/>
              <w:left w:val="none"/>
              <w:bottom w:val="none"/>
              <w:right w:val="none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к решению Совета депутатов муниципального округа №68 от 25.12.2025  «О внесении изменений в решение Луковского сельского Совета депутатов от 26.12.2024 № 21 «О бюджете Луковского сельсовета Панкрушихинского района Алтайского края на 2025 год и на плановый период 2026 и 2027 годов»</w:t>
            </w:r>
          </w:p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</w:p>
        </w:tc>
        <w:tc>
          <w:tcPr>
            <w:tcW w:w="20" w:type="dxa"/>
            <w:tcBorders>
              <w:top w:val="none"/>
              <w:left w:val="none"/>
              <w:bottom w:val="none"/>
              <w:right w:val="none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</w:p>
        </w:tc>
      </w:tr>
    </w:tbl>
    <w:p>
      <w:pPr>
        <w:spacing w:before="0" w:after="40" w:line="240" w:lineRule="auto"/>
        <w:ind w:left="0" w:right="0" w:firstLine="0"/>
        <w:jc w:val="left"/>
        <w:rPr>
          <w:rFonts w:ascii="PT Astra Serif" w:hAnsi="PT Astra Serif" w:eastAsia="PT Astra Serif" w:cs="PT Astra Serif"/>
          <w:sz w:val="24"/>
          <w:szCs w:val="24"/>
          <w:lang w:val="ru-RU" w:bidi="ru-RU"/>
        </w:rPr>
      </w:pPr>
      <w:r>
        <w:rPr>
          <w:rFonts w:ascii="PT Astra Serif" w:hAnsi="PT Astra Serif" w:eastAsia="PT Astra Serif" w:cs="PT Astra Serif"/>
          <w:sz w:val="24"/>
          <w:szCs w:val="24"/>
          <w:lang w:val="ru-RU" w:bidi="ru-RU"/>
        </w:rPr>
        <w:t xml:space="preserve">Ведомственная структура расходов бюджета сельского поселения на 2025 год</w:t>
      </w:r>
    </w:p>
    <w:tbl>
      <w:tblPr>
        <w:tblStyle w:val="Style_11"/>
        <w:tblW w:w="9949" w:type="dxa"/>
        <w:tblInd w:w="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5103"/>
        <w:gridCol w:w="709"/>
        <w:gridCol w:w="851"/>
        <w:gridCol w:w="1417"/>
        <w:gridCol w:w="600"/>
        <w:gridCol w:w="1269"/>
      </w:tblGrid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Наименование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Код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Рз/Пр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ЦСР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Вр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Сумма, тыс. рублей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2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4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5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6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Администрация Луковского сельсовета Панкрушихинского района Алтайского края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00 00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8"/>
                <w:szCs w:val="28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 w:bidi="ru-RU"/>
              </w:rPr>
              <w:t xml:space="preserve">7039,5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ОБЩЕГОСУДАРСТВЕННЫЕ ВОПРОСЫ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01 00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4297,8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01 02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683,3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01 02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010 00 00000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683,3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01 02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012 00 00000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683,3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Глава муниципального образования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01 02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012 00 10120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683,3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01 02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012 00 10120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100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683,3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01 03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2,0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01 03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010 00 00000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2,0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01 03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012 00 00000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2,0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Центральный аппарат органов местного самоуправления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01 03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012 00 10110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2,0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Иные бюджетные ассигнования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01 03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012 00 10110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800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2,0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01 04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310,7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01 04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010 00 00000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310,7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01 04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012 00 00000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310,7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Центральный аппарат органов местного самоуправления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01 04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012 00 10110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310,7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01 04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012 00 10110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100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310,7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Резервные фонды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01 11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0,0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01 11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990 00 00000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0,0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Резервные фонды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01 11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991 00 00000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0,0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Резервные фонды местных администраций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01 11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991 00 14100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0,0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Иные бюджетные ассигнования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01 11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991 00 14100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800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0,0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Другие общегосударственные вопросы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3301,8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Иные расходы, не относящиеся к органам местного самоуправления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020 00 00000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3246,8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Расходы на группы хозяйственного обслуживания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025 00 00000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3246,8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Группы хозяйственного обслуживания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025 00 10820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3246,8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025 00 10820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100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1969,7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025 00 10820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200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1249,1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Иные бюджетные ассигнования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025 00 10820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800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28,0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Расходы на обеспечение по жилищно-коммунальным услугам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430 00 00000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54,0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Расходы на обеспечение стабильного функционирования объектов теплоснабжения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432 00 00000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54,0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Расходы на обеспечение стабильного функционирования объектов теплоснабжения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432 00 S1190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54,0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432 00 S1190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200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54,0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Межбюджетные трансферты общего характера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980 00 00000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1,0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985 00 00000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1,0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Межбюджетные трансферты, передаваемые на осуществление части полномочий с заключенными соглашениями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985 00 60410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1,0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Межбюджетные трансферты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985 00 60410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500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1,0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НАЦИОНАЛЬНАЯ ОБОРОНА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02 00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163,3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02 03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163,3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02 03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010 00 00000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163,3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02 03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014 00 00000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163,3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02 03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014 00 51180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163,3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02 03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014 00 51180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100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111,4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02 03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014 00 51180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200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51,9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03 00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0,0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Гражданская оборона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03 10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0,0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Финансирование иных мероприятий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03 10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942 00 00000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0,0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Расходы на финансовое обеспечение мероприятий, связанных с ликвидацией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03 10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942 00 12010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0,0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03 10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942 00 12010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200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0,0</w:t>
            </w:r>
          </w:p>
        </w:tc>
      </w:tr>
      <w:tr>
        <w:trPr>
          <w:trHeight w:val="37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НАЦИОНАЛЬНАЯ ЭКОНОМИКА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04 00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2261,1</w:t>
            </w:r>
          </w:p>
        </w:tc>
      </w:tr>
      <w:tr>
        <w:trPr>
          <w:trHeight w:val="42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Дорожное хозяйство (дорожные фонды)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04 09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2261,1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lang w:val="ru-RU" w:bidi="ru-RU"/>
              </w:rPr>
              <w:t xml:space="preserve">Мероприятия в сфере дорожного хозяйства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04 09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912 00 00000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2261,1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lang w:val="ru-RU" w:bidi="ru-RU"/>
              </w:rPr>
              <w:t xml:space="preserve">Расходы муниципального дорожного фонда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04 09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912 00 9Д810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182,8</w:t>
            </w:r>
          </w:p>
        </w:tc>
      </w:tr>
      <w:tr>
        <w:trPr>
          <w:trHeight w:val="562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04 09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912 00 9Д810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200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182,8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Реализация инициативных проектов развития (создания) общественной инфраструктуры муниципальных образований (Панкрушихинский район, с. Луковка, ремонт дорог)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04 09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912 00 S0266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2078,3</w:t>
            </w:r>
          </w:p>
        </w:tc>
      </w:tr>
      <w:tr>
        <w:trPr>
          <w:trHeight w:val="606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04 09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912 00 S0266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200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2078,3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ЖИЛИЩНО-КОММУНАЛЬНОЕ ХОЗЯЙСТВО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05 00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20,0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Благоустройство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05 03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20,0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Иные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05 03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920 00 00000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20,0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Иные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05 03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929 00 00000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20,0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Организация ритуальных услуг и содержание мест захоронения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05 03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929 00 18070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20,0</w:t>
            </w:r>
          </w:p>
        </w:tc>
      </w:tr>
      <w:tr>
        <w:trPr>
          <w:trHeight w:val="692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05 03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929 00 18070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200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20,0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КУЛЬТУРА, КИНЕМАТОГРАФИЯ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08 00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297,3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Культура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08 01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297,3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Иные расходы, не относящиеся к органам местного самоуправления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08 01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020 00 00000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135,3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Расходы на содержание домов культуры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08 01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022 00 00000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135,3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Содержание домов культуры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08 01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022 00 10530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135,3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08 01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022 00 10530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200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135,3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Расходы на обеспечение по жилищно-коммунальным услугам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08 01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430 00 00000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162,0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Расходы на обеспечение стабильного функционирования объектов теплоснабжения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08 01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432 00 00000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162,0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Расходы на обеспечение стабильного функционирования объектов теплоснабжения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08 01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432 00 S1190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162,0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303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08 01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432 00 S1190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200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162,0</w:t>
            </w:r>
          </w:p>
        </w:tc>
      </w:tr>
    </w:tbl>
    <w:p>
      <w:pPr>
        <w:spacing w:before="0" w:after="40" w:line="240" w:lineRule="auto"/>
        <w:ind w:left="0" w:right="0" w:firstLine="0"/>
        <w:jc w:val="both"/>
        <w:rPr>
          <w:rFonts w:ascii="PT Astra Serif" w:hAnsi="PT Astra Serif" w:eastAsia="PT Astra Serif" w:cs="PT Astra Serif"/>
          <w:sz w:val="24"/>
          <w:szCs w:val="24"/>
          <w:lang w:val="ru-RU" w:bidi="ru-RU"/>
        </w:rPr>
      </w:pPr>
    </w:p>
    <w:tbl>
      <w:tblPr>
        <w:tblStyle w:val="Style_11"/>
        <w:tblW w:w="100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5529"/>
        <w:gridCol w:w="4536"/>
        <w:gridCol w:w="20"/>
      </w:tblGrid>
      <w:tr>
        <w:trPr>
          <w:trHeight w:val="1"/>
        </w:trPr>
        <w:tc>
          <w:tcPr>
            <w:tcW w:w="5529" w:type="dxa"/>
            <w:tcBorders>
              <w:top w:val="none"/>
              <w:left w:val="none"/>
              <w:bottom w:val="none"/>
              <w:right w:val="none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4536" w:type="dxa"/>
            <w:tcBorders>
              <w:top w:val="none"/>
              <w:left w:val="none"/>
              <w:bottom w:val="none"/>
              <w:right w:val="none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</w:p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ПРИЛОЖЕНИЕ  3</w:t>
            </w:r>
          </w:p>
        </w:tc>
        <w:tc>
          <w:tcPr>
            <w:tcW w:w="20" w:type="dxa"/>
            <w:tcBorders>
              <w:top w:val="none"/>
              <w:left w:val="none"/>
              <w:bottom w:val="none"/>
              <w:right w:val="none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</w:tr>
      <w:tr>
        <w:trPr>
          <w:trHeight w:val="1"/>
        </w:trPr>
        <w:tc>
          <w:tcPr>
            <w:tcW w:w="5529" w:type="dxa"/>
            <w:tcBorders>
              <w:top w:val="none"/>
              <w:left w:val="none"/>
              <w:bottom w:val="none"/>
              <w:right w:val="none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4536" w:type="dxa"/>
            <w:tcBorders>
              <w:top w:val="none"/>
              <w:left w:val="none"/>
              <w:bottom w:val="none"/>
              <w:right w:val="none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</w:p>
        </w:tc>
        <w:tc>
          <w:tcPr>
            <w:tcW w:w="20" w:type="dxa"/>
            <w:tcBorders>
              <w:top w:val="none"/>
              <w:left w:val="none"/>
              <w:bottom w:val="none"/>
              <w:right w:val="none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1"/>
        </w:trPr>
        <w:tc>
          <w:tcPr>
            <w:tcW w:w="5529" w:type="dxa"/>
            <w:tcBorders>
              <w:top w:val="none"/>
              <w:left w:val="none"/>
              <w:bottom w:val="none"/>
              <w:right w:val="none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4536" w:type="dxa"/>
            <w:tcBorders>
              <w:top w:val="none"/>
              <w:left w:val="none"/>
              <w:bottom w:val="none"/>
              <w:right w:val="none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к решению Совета депутатов муниципального округа №68 от 25.12.2025  «О внесении изменений в решение Луковского сельского Совета депутатов от 26.12.2024 № 21 «О бюджете Луковского сельсовета Панкрушихинского района Алтайского края на 2025 год и на плановый период 2026 и 2027 годов»</w:t>
            </w:r>
          </w:p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</w:p>
        </w:tc>
        <w:tc>
          <w:tcPr>
            <w:tcW w:w="20" w:type="dxa"/>
            <w:tcBorders>
              <w:top w:val="none"/>
              <w:left w:val="none"/>
              <w:bottom w:val="none"/>
              <w:right w:val="none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</w:p>
        </w:tc>
      </w:tr>
    </w:tbl>
    <w:p>
      <w:pPr>
        <w:spacing w:before="0" w:after="40" w:line="240" w:lineRule="auto"/>
        <w:ind w:left="0" w:right="0" w:firstLine="0"/>
        <w:jc w:val="center"/>
        <w:rPr>
          <w:rFonts w:ascii="PT Astra Serif" w:hAnsi="PT Astra Serif" w:eastAsia="PT Astra Serif" w:cs="PT Astra Serif"/>
          <w:sz w:val="24"/>
          <w:szCs w:val="24"/>
          <w:lang w:val="ru-RU" w:bidi="ru-RU"/>
        </w:rPr>
      </w:pPr>
      <w:r>
        <w:rPr>
          <w:rFonts w:ascii="PT Astra Serif" w:hAnsi="PT Astra Serif" w:eastAsia="PT Astra Serif" w:cs="PT Astra Serif"/>
          <w:sz w:val="24"/>
          <w:szCs w:val="24"/>
          <w:lang w:val="ru-RU" w:bidi="ru-RU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на 2025 год</w:t>
      </w:r>
    </w:p>
    <w:tbl>
      <w:tblPr>
        <w:tblStyle w:val="Style_11"/>
        <w:tblW w:w="9949" w:type="dxa"/>
        <w:tblInd w:w="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5103"/>
        <w:gridCol w:w="709"/>
        <w:gridCol w:w="851"/>
        <w:gridCol w:w="1417"/>
        <w:gridCol w:w="600"/>
        <w:gridCol w:w="1269"/>
      </w:tblGrid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Наименование</w:t>
            </w:r>
          </w:p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Код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Рз/Пр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ЦСР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Вр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Сумма, тыс. рублей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4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5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6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Администрация Луковского сельсовета Панкрушихинского района Алтайского края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00 00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8"/>
                <w:szCs w:val="28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 w:bidi="ru-RU"/>
              </w:rPr>
              <w:t xml:space="preserve">7039,5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ОБЩЕГОСУДАРСТВЕННЫЕ ВОПРОСЫ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01 00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4297,8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01 02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683,3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01 02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010 00 00000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683,3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Расходы на 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01 02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012 00 00000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683,3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Глава муниципального образования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01 02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012 00 10120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683,3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01 02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012 00 10120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100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683,3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01 03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2,0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01 03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010 00 00000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2,0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Расходы на 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01 03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012 00 00000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2,0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Центральный аппарат органов местного самоуправления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01 03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012 00 10110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2,0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Иные бюджетные ассигнования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01 03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012 00 10110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800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2,0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01 04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310,7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01 04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010 00 00000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310,7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Расходы на 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01 04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012 00 00000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310,7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Центральный аппарат органов местного самоуправления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01 04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012 00 10110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310,7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01 04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012 00 10110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100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310,7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Резервные фонды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01 11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0,0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01 11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990 00 00000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0,0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Резервные фонды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01 11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991 00 00000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0,0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Резервные фонды местных администраций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01 11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991 00 14100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0,0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Иные бюджетные ассигнования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01 11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991 00 14100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800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0,0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Другие общегосударственные вопросы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3301,8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Иные расходы, не относящиеся к органам местного самоуправления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020 00 00000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3246,8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Расходы на группы хозяйственного обслуживания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025 00 00000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3246,8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Группы хозяйственного обслуживания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025 00 10820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3246,8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025 00 10820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100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1969,7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025 00 10820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200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1249,1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Иные бюджетные ассигнования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025 00 10820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800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28,0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Расходы на обеспечение по жилищно-коммунальным услугам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430 00 00000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54,0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Расходы на обеспечение стабильного функционирования объектов теплоснабжения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432 00 00000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54,0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Расходы на обеспечение стабильного функционирования объектов теплоснабжения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432 00 S1190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54,0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432 00 S1190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200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54,0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Межбюджетные трансферты общего характера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980 00 00000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1,0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985 00 00000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1,0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Межбюджетные трансферты, передаваемые на осуществление части полномочий с заключенными соглашениями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985 00 60410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1,0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Межбюджетные трансферты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01 13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985 00 60410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500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1,0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НАЦИОНАЛЬНАЯ ОБОРОНА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02 00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163,3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02 03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163,3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02 03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010 00 00000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163,3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02 03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014 00 00000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163,3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02 03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014 00 51180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163,3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02 03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014 00 51180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100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111,4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02 03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014 00 51180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200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51,9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03 00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0,0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Гражданская оборона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03 10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0,0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Финансирование иных мероприятий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03 10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942 00 00000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0,0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Расходы на финансовое обеспечение мероприятий, связанных с ликвидацией последствий чрезвычайных ситуаций и стихийных бедствий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03 10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942 00 12010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0,0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03 10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942 00 12010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200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0,0</w:t>
            </w:r>
          </w:p>
        </w:tc>
      </w:tr>
      <w:tr>
        <w:trPr>
          <w:trHeight w:val="37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НАЦИОНАЛЬНАЯ ЭКОНОМИКА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04 00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2261,1</w:t>
            </w:r>
          </w:p>
        </w:tc>
      </w:tr>
      <w:tr>
        <w:trPr>
          <w:trHeight w:val="42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Дорожное хозяйство (дорожные фонды)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04 09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2261,1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lang w:val="ru-RU" w:bidi="ru-RU"/>
              </w:rPr>
              <w:t xml:space="preserve">Мероприятия в сфере дорожного хозяйства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04 09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912 00 00000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2261,1</w:t>
            </w:r>
          </w:p>
        </w:tc>
      </w:tr>
      <w:tr>
        <w:trPr>
          <w:trHeight w:val="1"/>
        </w:trPr>
        <w:tc>
          <w:tcPr>
            <w:tcW w:w="510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lang w:val="ru-RU" w:bidi="ru-RU"/>
              </w:rPr>
              <w:t xml:space="preserve">Расходы муниципального дорожного фонда</w:t>
            </w:r>
          </w:p>
        </w:tc>
        <w:tc>
          <w:tcPr>
            <w:tcW w:w="70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04 09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912 00 9Д810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182,8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182,8</w:t>
            </w:r>
          </w:p>
        </w:tc>
      </w:tr>
      <w:tr>
        <w:trPr>
          <w:trHeight w:val="562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04 09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912 00 9Д810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200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182,8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Реализация инициативных проектов развития (создания) общественной инфраструктуры муниципальных образований (Панкрушихинский район, с. Луковка, ремонт дорог)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04 09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912 00 S0266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2078,3</w:t>
            </w:r>
          </w:p>
        </w:tc>
      </w:tr>
      <w:tr>
        <w:trPr>
          <w:trHeight w:val="606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04 09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912 00 S0266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200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2078,3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ЖИЛИЩНО-КОММУНАЛЬНОЕ ХОЗЯЙСТВО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05 00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20,0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Благоустройство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05 03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20,0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Иные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05 03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920 00 00000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20,0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Иные расходы в области жилищно-коммунального хозяйства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05 03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929 00 00000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20,0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Организация ритуальных услуг и содержание мест захоронения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05 03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929 00 18070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20,0</w:t>
            </w:r>
          </w:p>
        </w:tc>
      </w:tr>
      <w:tr>
        <w:trPr>
          <w:trHeight w:val="593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05 03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929 00 18070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200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20,0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КУЛЬТУРА, КИНЕМАТОГРАФИЯ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08 00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297,3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Культура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08 01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297,3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Иные расходы, не относящиеся к органам местного самоуправления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08 01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020 00 00000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135,3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Расходы на содержание домов культуры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08 01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022 00 00000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135,3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Содержание домов культуры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08 01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022 00 10530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135,3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08 01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022 00 10530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200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135,3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Расходы на обеспечение по жилищно-коммунальным услугам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08 01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430 00 00000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162,0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Расходы на обеспечение стабильного функционирования объектов теплоснабжения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08 01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432 00 00000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162,0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Расходы на обеспечение стабильного функционирования объектов теплоснабжения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08 01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432 00 S1190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162,0</w:t>
            </w:r>
          </w:p>
        </w:tc>
      </w:tr>
      <w:tr>
        <w:trPr>
          <w:trHeight w:val="1"/>
        </w:trPr>
        <w:tc>
          <w:tcPr>
            <w:tcW w:w="581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08 01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432 00 S1190</w:t>
            </w:r>
          </w:p>
        </w:tc>
        <w:tc>
          <w:tcPr>
            <w:tcW w:w="6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4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bidi="ru-RU"/>
              </w:rPr>
              <w:t xml:space="preserve">200</w:t>
            </w:r>
          </w:p>
        </w:tc>
        <w:tc>
          <w:tcPr>
            <w:tcW w:w="126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000000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2"/>
                <w:szCs w:val="22"/>
                <w:lang w:val="ru-RU" w:bidi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bidi="ru-RU"/>
              </w:rPr>
              <w:t xml:space="preserve">162,0</w:t>
            </w:r>
          </w:p>
        </w:tc>
      </w:tr>
    </w:tbl>
    <w:p>
      <w:pPr>
        <w:spacing w:before="0" w:after="40" w:line="240" w:lineRule="auto"/>
        <w:ind w:left="0" w:right="0" w:firstLine="0"/>
        <w:jc w:val="both"/>
        <w:rPr>
          <w:rFonts w:ascii="PT Astra Serif" w:hAnsi="PT Astra Serif" w:eastAsia="PT Astra Serif" w:cs="PT Astra Serif"/>
          <w:sz w:val="24"/>
          <w:szCs w:val="24"/>
          <w:lang w:val="ru-RU" w:bidi="ru-RU"/>
        </w:rPr>
      </w:pPr>
    </w:p>
    <w:sectPr>
      <w:footnotePr>
        <w:pos w:val="pageBottom"/>
      </w:footnotePr>
      <w:type w:val="nextPage"/>
      <w:pgSz w:w="12240" w:h="15840"/>
      <w:pgMar w:top="1134" w:right="850" w:bottom="1134" w:left="1701" w:header="720" w:footer="720" w:gutter="0"/>
      <w:cols w:num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jc w:val="left"/>
        <w:rPr>
          <w:rFonts w:ascii="Times New Roman" w:hAnsi="Times New Roman" w:eastAsia="Times New Roman" w:cs="Times New Roman"/>
          <w:lang w:val="ru-RU" w:bidi="ru-RU"/>
        </w:rPr>
      </w:pPr>
      <w:r>
        <w:rPr>
          <w:rFonts w:ascii="Times New Roman" w:hAnsi="Times New Roman" w:eastAsia="Times New Roman" w:cs="Times New Roman"/>
          <w:lang w:val="ru-RU" w:bidi="ru-RU"/>
        </w:rPr>
        <w:separator/>
      </w:r>
    </w:p>
  </w:endnote>
  <w:endnote w:type="continuationSeparator" w:id="1">
    <w:p>
      <w:pPr>
        <w:jc w:val="left"/>
        <w:rPr>
          <w:rFonts w:ascii="Times New Roman" w:hAnsi="Times New Roman" w:eastAsia="Times New Roman" w:cs="Times New Roman"/>
          <w:lang w:val="ru-RU" w:bidi="ru-RU"/>
        </w:rPr>
      </w:pPr>
      <w:r>
        <w:rPr>
          <w:rFonts w:ascii="Times New Roman" w:hAnsi="Times New Roman" w:eastAsia="Times New Roman" w:cs="Times New Roman"/>
          <w:lang w:val="ru-RU" w:bidi="ru-RU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00603000000000000"/>
  </w:font>
  <w:font w:name="Arial CYR">
    <w:panose1 w:val="02000603000000000000"/>
  </w:font>
  <w:font w:name="Arial">
    <w:panose1 w:val="020B0604020202020204"/>
  </w:font>
  <w:font w:name="PT Astra Serif">
    <w:panose1 w:val="020A0603040505020204"/>
  </w:font>
  <w:font w:name="Tahoma">
    <w:panose1 w:val="020B0606040504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jc w:val="left"/>
        <w:rPr>
          <w:rFonts w:ascii="Times New Roman" w:hAnsi="Times New Roman" w:eastAsia="Times New Roman" w:cs="Times New Roman"/>
          <w:lang w:val="ru-RU" w:bidi="ru-RU"/>
        </w:rPr>
      </w:pPr>
      <w:r>
        <w:rPr>
          <w:rFonts w:ascii="Times New Roman" w:hAnsi="Times New Roman" w:eastAsia="Times New Roman" w:cs="Times New Roman"/>
          <w:lang w:val="ru-RU" w:bidi="ru-RU"/>
        </w:rPr>
        <w:separator/>
      </w:r>
    </w:p>
  </w:footnote>
  <w:footnote w:type="continuationSeparator" w:id="1">
    <w:p>
      <w:pPr>
        <w:jc w:val="left"/>
        <w:rPr>
          <w:rFonts w:ascii="Times New Roman" w:hAnsi="Times New Roman" w:eastAsia="Times New Roman" w:cs="Times New Roman"/>
          <w:lang w:val="ru-RU" w:bidi="ru-RU"/>
        </w:rPr>
      </w:pPr>
      <w:r>
        <w:rPr>
          <w:rFonts w:ascii="Times New Roman" w:hAnsi="Times New Roman" w:eastAsia="Times New Roman" w:cs="Times New Roman"/>
          <w:lang w:val="ru-RU" w:bidi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35814908">
    <w:multiLevelType w:val="hybridMultilevel"/>
    <w:lvl w:ilvl="0">
      <w:start w:val="2"/>
      <w:numFmt w:val="decimal"/>
      <w:suff w:val="tab"/>
      <w:lvlText w:val="%1"/>
      <w:lvlJc w:val="left"/>
      <w:pPr>
        <w:ind w:left="375" w:hanging="375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decimal"/>
      <w:suff w:val="tab"/>
      <w:lvlText w:val="%1.%2"/>
      <w:lvlJc w:val="left"/>
      <w:pPr>
        <w:ind w:left="375" w:hanging="375"/>
      </w:pPr>
      <w:rPr>
        <w:rFonts w:ascii="Times New Roman" w:hAnsi="Times New Roman" w:eastAsia="Times New Roman" w:cs="Times New Roman"/>
        <w:lang w:val="ru-RU" w:bidi="ru-RU"/>
      </w:rPr>
    </w:lvl>
    <w:lvl w:ilvl="2">
      <w:start w:val="1"/>
      <w:numFmt w:val="decimal"/>
      <w:suff w:val="tab"/>
      <w:lvlText w:val="%1.%2.%3"/>
      <w:lvlJc w:val="left"/>
      <w:pPr>
        <w:ind w:left="1440" w:hanging="720"/>
      </w:pPr>
      <w:rPr>
        <w:rFonts w:ascii="Times New Roman" w:hAnsi="Times New Roman" w:eastAsia="Times New Roman" w:cs="Times New Roman"/>
        <w:lang w:val="ru-RU" w:bidi="ru-RU"/>
      </w:rPr>
    </w:lvl>
    <w:lvl w:ilvl="3">
      <w:start w:val="1"/>
      <w:numFmt w:val="decimal"/>
      <w:suff w:val="tab"/>
      <w:lvlText w:val="%1.%2.%3.%4"/>
      <w:lvlJc w:val="left"/>
      <w:pPr>
        <w:ind w:left="2160" w:hanging="1080"/>
      </w:pPr>
      <w:rPr>
        <w:rFonts w:ascii="Times New Roman" w:hAnsi="Times New Roman" w:eastAsia="Times New Roman" w:cs="Times New Roman"/>
        <w:lang w:val="ru-RU" w:bidi="ru-RU"/>
      </w:rPr>
    </w:lvl>
    <w:lvl w:ilvl="4">
      <w:start w:val="1"/>
      <w:numFmt w:val="decimal"/>
      <w:suff w:val="tab"/>
      <w:lvlText w:val="%1.%2.%3.%4.%5"/>
      <w:lvlJc w:val="left"/>
      <w:pPr>
        <w:ind w:left="2520" w:hanging="1080"/>
      </w:pPr>
      <w:rPr>
        <w:rFonts w:ascii="Times New Roman" w:hAnsi="Times New Roman" w:eastAsia="Times New Roman" w:cs="Times New Roman"/>
        <w:lang w:val="ru-RU" w:bidi="ru-RU"/>
      </w:rPr>
    </w:lvl>
    <w:lvl w:ilvl="5">
      <w:start w:val="1"/>
      <w:numFmt w:val="decimal"/>
      <w:suff w:val="tab"/>
      <w:lvlText w:val="%1.%2.%3.%4.%5.%6"/>
      <w:lvlJc w:val="left"/>
      <w:pPr>
        <w:ind w:left="3240" w:hanging="1440"/>
      </w:pPr>
      <w:rPr>
        <w:rFonts w:ascii="Times New Roman" w:hAnsi="Times New Roman" w:eastAsia="Times New Roman" w:cs="Times New Roman"/>
        <w:lang w:val="ru-RU" w:bidi="ru-RU"/>
      </w:rPr>
    </w:lvl>
    <w:lvl w:ilvl="6">
      <w:start w:val="1"/>
      <w:numFmt w:val="decimal"/>
      <w:suff w:val="tab"/>
      <w:lvlText w:val="%1.%2.%3.%4.%5.%6.%7"/>
      <w:lvlJc w:val="left"/>
      <w:pPr>
        <w:ind w:left="3600" w:hanging="1440"/>
      </w:pPr>
      <w:rPr>
        <w:rFonts w:ascii="Times New Roman" w:hAnsi="Times New Roman" w:eastAsia="Times New Roman" w:cs="Times New Roman"/>
        <w:lang w:val="ru-RU" w:bidi="ru-RU"/>
      </w:rPr>
    </w:lvl>
    <w:lvl w:ilvl="7">
      <w:start w:val="1"/>
      <w:numFmt w:val="decimal"/>
      <w:suff w:val="tab"/>
      <w:lvlText w:val="%1.%2.%3.%4.%5.%6.%7.%8"/>
      <w:lvlJc w:val="left"/>
      <w:pPr>
        <w:ind w:left="4320" w:hanging="1800"/>
      </w:pPr>
      <w:rPr>
        <w:rFonts w:ascii="Times New Roman" w:hAnsi="Times New Roman" w:eastAsia="Times New Roman" w:cs="Times New Roman"/>
        <w:lang w:val="ru-RU" w:bidi="ru-RU"/>
      </w:rPr>
    </w:lvl>
    <w:lvl w:ilvl="8">
      <w:start w:val="1"/>
      <w:numFmt w:val="decimal"/>
      <w:suff w:val="tab"/>
      <w:lvlText w:val="%1.%2.%3.%4.%5.%6.%7.%8.%9"/>
      <w:lvlJc w:val="left"/>
      <w:pPr>
        <w:ind w:left="5040" w:hanging="2160"/>
      </w:pPr>
      <w:rPr>
        <w:rFonts w:ascii="Times New Roman" w:hAnsi="Times New Roman" w:eastAsia="Times New Roman" w:cs="Times New Roman"/>
        <w:lang w:val="ru-RU" w:bidi="ru-RU"/>
      </w:rPr>
    </w:lvl>
  </w:abstractNum>
  <w:abstractNum w:abstractNumId="852458654">
    <w:multiLevelType w:val="hybridMultilevel"/>
    <w:lvl w:ilvl="0">
      <w:start w:val="3"/>
      <w:numFmt w:val="decimal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lang w:val="ru-RU" w:bidi="ru-RU"/>
      </w:rPr>
    </w:lvl>
    <w:lvl w:ilvl="1" w:tentative="1">
      <w:start w:val="1"/>
      <w:numFmt w:val="lowerLetter"/>
      <w:suff w:val="tab"/>
      <w:lvlText w:val="%2."/>
      <w:lvlJc w:val="left"/>
      <w:pPr>
        <w:ind w:left="1440" w:hanging="360"/>
      </w:pPr>
      <w:rPr>
        <w:rFonts w:ascii="Times New Roman" w:hAnsi="Times New Roman" w:eastAsia="Times New Roman" w:cs="Times New Roman"/>
        <w:lang w:val="ru-RU" w:bidi="ru-RU"/>
      </w:rPr>
    </w:lvl>
    <w:lvl w:ilvl="2" w:tentative="1">
      <w:start w:val="1"/>
      <w:numFmt w:val="lowerRoman"/>
      <w:suff w:val="tab"/>
      <w:lvlText w:val="%3."/>
      <w:lvlJc w:val="right"/>
      <w:pPr>
        <w:ind w:left="2160" w:hanging="180"/>
      </w:pPr>
      <w:rPr>
        <w:rFonts w:ascii="Times New Roman" w:hAnsi="Times New Roman" w:eastAsia="Times New Roman" w:cs="Times New Roman"/>
        <w:lang w:val="ru-RU" w:bidi="ru-RU"/>
      </w:rPr>
    </w:lvl>
    <w:lvl w:ilvl="3" w:tentative="1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hAnsi="Times New Roman" w:eastAsia="Times New Roman" w:cs="Times New Roman"/>
        <w:lang w:val="ru-RU" w:bidi="ru-RU"/>
      </w:rPr>
    </w:lvl>
    <w:lvl w:ilvl="4" w:tentative="1">
      <w:start w:val="1"/>
      <w:numFmt w:val="lowerLetter"/>
      <w:suff w:val="tab"/>
      <w:lvlText w:val="%5."/>
      <w:lvlJc w:val="left"/>
      <w:pPr>
        <w:ind w:left="3600" w:hanging="360"/>
      </w:pPr>
      <w:rPr>
        <w:rFonts w:ascii="Times New Roman" w:hAnsi="Times New Roman" w:eastAsia="Times New Roman" w:cs="Times New Roman"/>
        <w:lang w:val="ru-RU" w:bidi="ru-RU"/>
      </w:rPr>
    </w:lvl>
    <w:lvl w:ilvl="5" w:tentative="1">
      <w:start w:val="1"/>
      <w:numFmt w:val="lowerRoman"/>
      <w:suff w:val="tab"/>
      <w:lvlText w:val="%6."/>
      <w:lvlJc w:val="right"/>
      <w:pPr>
        <w:ind w:left="4320" w:hanging="180"/>
      </w:pPr>
      <w:rPr>
        <w:rFonts w:ascii="Times New Roman" w:hAnsi="Times New Roman" w:eastAsia="Times New Roman" w:cs="Times New Roman"/>
        <w:lang w:val="ru-RU" w:bidi="ru-RU"/>
      </w:rPr>
    </w:lvl>
    <w:lvl w:ilvl="6" w:tentative="1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hAnsi="Times New Roman" w:eastAsia="Times New Roman" w:cs="Times New Roman"/>
        <w:lang w:val="ru-RU" w:bidi="ru-RU"/>
      </w:rPr>
    </w:lvl>
    <w:lvl w:ilvl="7" w:tentative="1">
      <w:start w:val="1"/>
      <w:numFmt w:val="lowerLetter"/>
      <w:suff w:val="tab"/>
      <w:lvlText w:val="%8."/>
      <w:lvlJc w:val="left"/>
      <w:pPr>
        <w:ind w:left="5760" w:hanging="360"/>
      </w:pPr>
      <w:rPr>
        <w:rFonts w:ascii="Times New Roman" w:hAnsi="Times New Roman" w:eastAsia="Times New Roman" w:cs="Times New Roman"/>
        <w:lang w:val="ru-RU" w:bidi="ru-RU"/>
      </w:rPr>
    </w:lvl>
    <w:lvl w:ilvl="8" w:tentative="1">
      <w:start w:val="1"/>
      <w:numFmt w:val="lowerRoman"/>
      <w:suff w:val="tab"/>
      <w:lvlText w:val="%9."/>
      <w:lvlJc w:val="right"/>
      <w:pPr>
        <w:ind w:left="6480" w:hanging="180"/>
      </w:pPr>
      <w:rPr>
        <w:rFonts w:ascii="Times New Roman" w:hAnsi="Times New Roman" w:eastAsia="Times New Roman" w:cs="Times New Roman"/>
        <w:lang w:val="ru-RU" w:bidi="ru-RU"/>
      </w:rPr>
    </w:lvl>
  </w:abstractNum>
  <w:abstractNum w:abstractNumId="915821144">
    <w:multiLevelType w:val="hybridMultilevel"/>
    <w:lvl w:ilvl="0">
      <w:start w:val="2"/>
      <w:numFmt w:val="decimal"/>
      <w:suff w:val="tab"/>
      <w:lvlText w:val="%1"/>
      <w:lvlJc w:val="left"/>
      <w:pPr>
        <w:ind w:left="375" w:hanging="375"/>
      </w:pPr>
      <w:rPr>
        <w:rFonts w:ascii="Times New Roman" w:hAnsi="Times New Roman" w:eastAsia="Times New Roman" w:cs="Times New Roman"/>
        <w:lang w:val="ru-RU" w:bidi="ru-RU"/>
      </w:rPr>
    </w:lvl>
    <w:lvl w:ilvl="1">
      <w:start w:val="3"/>
      <w:numFmt w:val="decimal"/>
      <w:suff w:val="tab"/>
      <w:lvlText w:val="%1.%2"/>
      <w:lvlJc w:val="left"/>
      <w:pPr>
        <w:ind w:left="375" w:hanging="375"/>
      </w:pPr>
      <w:rPr>
        <w:rFonts w:ascii="Times New Roman" w:hAnsi="Times New Roman" w:eastAsia="Times New Roman" w:cs="Times New Roman"/>
        <w:lang w:val="ru-RU" w:bidi="ru-RU"/>
      </w:rPr>
    </w:lvl>
    <w:lvl w:ilvl="2">
      <w:start w:val="1"/>
      <w:numFmt w:val="decimal"/>
      <w:suff w:val="tab"/>
      <w:lvlText w:val="%1.%2.%3"/>
      <w:lvlJc w:val="left"/>
      <w:pPr>
        <w:ind w:left="720" w:hanging="720"/>
      </w:pPr>
      <w:rPr>
        <w:rFonts w:ascii="Times New Roman" w:hAnsi="Times New Roman" w:eastAsia="Times New Roman" w:cs="Times New Roman"/>
        <w:lang w:val="ru-RU" w:bidi="ru-RU"/>
      </w:rPr>
    </w:lvl>
    <w:lvl w:ilvl="3">
      <w:start w:val="1"/>
      <w:numFmt w:val="decimal"/>
      <w:suff w:val="tab"/>
      <w:lvlText w:val="%1.%2.%3.%4"/>
      <w:lvlJc w:val="left"/>
      <w:pPr>
        <w:ind w:left="1080" w:hanging="1080"/>
      </w:pPr>
      <w:rPr>
        <w:rFonts w:ascii="Times New Roman" w:hAnsi="Times New Roman" w:eastAsia="Times New Roman" w:cs="Times New Roman"/>
        <w:lang w:val="ru-RU" w:bidi="ru-RU"/>
      </w:rPr>
    </w:lvl>
    <w:lvl w:ilvl="4">
      <w:start w:val="1"/>
      <w:numFmt w:val="decimal"/>
      <w:suff w:val="tab"/>
      <w:lvlText w:val="%1.%2.%3.%4.%5"/>
      <w:lvlJc w:val="left"/>
      <w:pPr>
        <w:ind w:left="1080" w:hanging="1080"/>
      </w:pPr>
      <w:rPr>
        <w:rFonts w:ascii="Times New Roman" w:hAnsi="Times New Roman" w:eastAsia="Times New Roman" w:cs="Times New Roman"/>
        <w:lang w:val="ru-RU" w:bidi="ru-RU"/>
      </w:rPr>
    </w:lvl>
    <w:lvl w:ilvl="5">
      <w:start w:val="1"/>
      <w:numFmt w:val="decimal"/>
      <w:suff w:val="tab"/>
      <w:lvlText w:val="%1.%2.%3.%4.%5.%6"/>
      <w:lvlJc w:val="left"/>
      <w:pPr>
        <w:ind w:left="1440" w:hanging="1440"/>
      </w:pPr>
      <w:rPr>
        <w:rFonts w:ascii="Times New Roman" w:hAnsi="Times New Roman" w:eastAsia="Times New Roman" w:cs="Times New Roman"/>
        <w:lang w:val="ru-RU" w:bidi="ru-RU"/>
      </w:rPr>
    </w:lvl>
    <w:lvl w:ilvl="6">
      <w:start w:val="1"/>
      <w:numFmt w:val="decimal"/>
      <w:suff w:val="tab"/>
      <w:lvlText w:val="%1.%2.%3.%4.%5.%6.%7"/>
      <w:lvlJc w:val="left"/>
      <w:pPr>
        <w:ind w:left="1440" w:hanging="1440"/>
      </w:pPr>
      <w:rPr>
        <w:rFonts w:ascii="Times New Roman" w:hAnsi="Times New Roman" w:eastAsia="Times New Roman" w:cs="Times New Roman"/>
        <w:lang w:val="ru-RU" w:bidi="ru-RU"/>
      </w:rPr>
    </w:lvl>
    <w:lvl w:ilvl="7">
      <w:start w:val="1"/>
      <w:numFmt w:val="decimal"/>
      <w:suff w:val="tab"/>
      <w:lvlText w:val="%1.%2.%3.%4.%5.%6.%7.%8"/>
      <w:lvlJc w:val="left"/>
      <w:pPr>
        <w:ind w:left="1800" w:hanging="1800"/>
      </w:pPr>
      <w:rPr>
        <w:rFonts w:ascii="Times New Roman" w:hAnsi="Times New Roman" w:eastAsia="Times New Roman" w:cs="Times New Roman"/>
        <w:lang w:val="ru-RU" w:bidi="ru-RU"/>
      </w:rPr>
    </w:lvl>
    <w:lvl w:ilvl="8">
      <w:start w:val="1"/>
      <w:numFmt w:val="decimal"/>
      <w:suff w:val="tab"/>
      <w:lvlText w:val="%1.%2.%3.%4.%5.%6.%7.%8.%9"/>
      <w:lvlJc w:val="left"/>
      <w:pPr>
        <w:ind w:left="2160" w:hanging="2160"/>
      </w:pPr>
      <w:rPr>
        <w:rFonts w:ascii="Times New Roman" w:hAnsi="Times New Roman" w:eastAsia="Times New Roman" w:cs="Times New Roman"/>
        <w:lang w:val="ru-RU" w:bidi="ru-RU"/>
      </w:rPr>
    </w:lvl>
  </w:abstractNum>
  <w:num w:numId="1">
    <w:abstractNumId w:val="335814908"/>
  </w:num>
  <w:num w:numId="2">
    <w:abstractNumId w:val="852458654"/>
  </w:num>
  <w:num w:numId="3">
    <w:abstractNumId w:val="9158211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pos w:val="pageBottom"/>
    <w:footnote w:id="1"/>
    <w:footnote w:id="0"/>
  </w:footnotePr>
  <w:endnotePr>
    <w:pos w:val="docEnd"/>
    <w:endnote w:id="1"/>
    <w:endnote w:id="0"/>
  </w:endnotePr>
  <w:compat>
    <w:forgetLastTabAlignment w:val="true"/>
    <w:doNotUseHTMLParagraphAutoSpacing w:val="true"/>
    <w:compatSetting w:name="compatibilityMode" w:uri="http://schemas.microsoft.com/office/word" w:val="11"/>
  </w:compat>
  <m:mathPr>
    <m:mathFont m:val="Cambria Math"/>
    <m:brkBin m:val="before"/>
    <m:brkBinSub m:val="--"/>
    <m:dispDef m:val="false"/>
    <m:lMargin m:val="0"/>
    <m:rMargin m:val="0"/>
    <m:defJc m:val="center"/>
    <m:wrapIndent m:val="1440"/>
    <m:intLim m:val="subSup"/>
    <m:naryLim m:val="undOvr"/>
  </m:mathPr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ru-RU" w:bidi="ru-RU"/>
      </w:rPr>
    </w:rPrDefault>
    <w:pPrDefault>
      <w:pPr>
        <w:spacing w:before="0" w:after="200" w:line="276" w:lineRule="auto"/>
        <w:ind w:left="0" w:right="0"/>
        <w:jc w:val="left"/>
        <w:rPr>
          <w:rFonts w:ascii="Times New Roman" w:hAnsi="Times New Roman" w:eastAsia="Times New Roman" w:cs="Times New Roman"/>
          <w:lang w:val="ru-RU" w:bidi="ru-RU"/>
        </w:rP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0" w:default="1">
    <w:name w:val="Normal"/>
    <w:uiPriority w:val="0"/>
    <w:qFormat/>
    <w:pPr>
      <w:spacing w:before="0" w:after="200" w:line="276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2"/>
      <w:szCs w:val="22"/>
      <w:lang w:val="ru-RU" w:bidi="ru-RU"/>
    </w:rPr>
  </w:style>
  <w:style w:type="character" w:styleId="Style_10">
    <w:name w:val="Default Paragraph Font"/>
    <w:uiPriority w:val="1"/>
    <w:unhideWhenUsed/>
    <w:rPr>
      <w:rFonts w:ascii="Times New Roman" w:hAnsi="Times New Roman" w:eastAsia="Times New Roman" w:cs="Times New Roman"/>
      <w:sz w:val="24"/>
      <w:szCs w:val="24"/>
      <w:lang w:val="ru-RU" w:bidi="ru-RU"/>
    </w:rPr>
  </w:style>
  <w:style w:type="table" w:styleId="Style_11">
    <w:name w:val="Normal Table"/>
    <w:semiHidden/>
    <w:unhideWhenUsed/>
    <w:pPr>
      <w:spacing w:before="0" w:after="200" w:line="276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2"/>
      <w:szCs w:val="22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108" w:type="dxa"/>
        <w:right w:w="108" w:type="dxa"/>
      </w:tblCellMar>
    </w:tblPr>
  </w:style>
  <w:style w:type="paragraph" w:styleId="Style_15">
    <w:name w:val="Balloon Text"/>
    <w:basedOn w:val="Style_0"/>
    <w:semiHidden/>
    <w:unhideWhenUsed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ahoma" w:hAnsi="Tahoma" w:eastAsia="Tahoma" w:cs="Tahoma"/>
      <w:sz w:val="16"/>
      <w:szCs w:val="16"/>
      <w:lang w:val="ru-RU" w:bidi="ru-RU"/>
    </w:rPr>
  </w:style>
  <w:style w:type="character" w:styleId="Style_16">
    <w:name w:val="Текст выноски Знак"/>
    <w:basedOn w:val="Style_10"/>
    <w:semiHidden/>
    <w:locked/>
    <w:rPr>
      <w:rFonts w:ascii="Tahoma" w:hAnsi="Tahoma" w:eastAsia="Tahoma" w:cs="Tahoma"/>
      <w:sz w:val="16"/>
      <w:szCs w:val="16"/>
      <w:lang w:val="ru-RU" w:bidi="ru-RU"/>
    </w:rPr>
  </w:style>
  <w:style w:type="paragraph" w:styleId="Style_17">
    <w:name w:val="List Paragraph"/>
    <w:basedOn w:val="Style_0"/>
    <w:uiPriority w:val="34"/>
    <w:qFormat/>
    <w:pPr>
      <w:spacing w:before="0" w:after="200" w:line="276" w:lineRule="auto"/>
      <w:ind w:left="720" w:right="0"/>
      <w:contextualSpacing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2"/>
      <w:szCs w:val="22"/>
      <w:lang w:val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WithSpaces>17623</CharactersWithSpaces>
  <DocSecurity>0</DocSecurity>
  <HyperlinksChanged>false</HyperlinksChanged>
  <LinksUpToDate>false</LinksUpToDate>
  <Pages>11</Pages>
  <ScaleCrop>false</ScaleCrop>
  <SharedDoc>false</SharedDoc>
  <TotalTime>4</TotalTime>
  <Words>3091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contr3</dc:creator>
  <cp:lastModifiedBy>sysadmin</cp:lastModifiedBy>
</cp:coreProperties>
</file>